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  <w:r>
        <w:rPr>
          <w:rtl w:val="0"/>
        </w:rPr>
        <w:t xml:space="preserve">Saturday 16th </w:t>
      </w:r>
      <w:r>
        <w:rPr>
          <w:rtl w:val="0"/>
        </w:rPr>
        <w:t xml:space="preserve">November </w:t>
      </w: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143"/>
        <w:gridCol w:w="3867"/>
      </w:tblGrid>
      <w:tr>
        <w:tblPrEx>
          <w:shd w:val="clear" w:color="auto" w:fill="cdd4e9"/>
        </w:tblPrEx>
        <w:trPr>
          <w:trHeight w:val="2828" w:hRule="atLeast"/>
        </w:trPr>
        <w:tc>
          <w:tcPr>
            <w:tcW w:type="dxa" w:w="5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Location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HOME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2 Tony Wilson Place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Manchester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M15 4FN</w:t>
            </w:r>
          </w:p>
          <w:p>
            <w:pPr>
              <w:pStyle w:val="Body"/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lang w:val="en-US"/>
              </w:rPr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0"/>
                <w:bCs w:val="0"/>
                <w:sz w:val="24"/>
                <w:szCs w:val="24"/>
                <w:u w:val="none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347124" cy="1667611"/>
                  <wp:effectExtent l="0" t="0" r="0" b="0"/>
                  <wp:docPr id="1073741825" name="officeArt object" descr="HOME Manches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OME Manchester" descr="HOME Manchester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124" cy="16676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2609" w:hRule="atLeast"/>
        </w:trPr>
        <w:tc>
          <w:tcPr>
            <w:tcW w:type="dxa" w:w="5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The musical show is called After the Act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After the Act is a 1980s musical show. To find out more information you can click on the link underneath.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sz w:val="28"/>
                <w:szCs w:val="28"/>
              </w:rPr>
              <w:instrText xml:space="preserve"> HYPERLINK "https://homemcr.org/production/after-the-act/"</w:instrText>
            </w:r>
            <w:r>
              <w:rPr>
                <w:rStyle w:val="Hyperlink.0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sz w:val="28"/>
                <w:szCs w:val="28"/>
                <w:rtl w:val="0"/>
                <w:lang w:val="en-US"/>
              </w:rPr>
              <w:t>https://homemcr.org/production/after-the-act/</w:t>
            </w:r>
            <w:r>
              <w:rPr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612132" cy="1612132"/>
                  <wp:effectExtent l="0" t="0" r="0" b="0"/>
                  <wp:docPr id="1073741826" name="officeArt object" descr="The Musical Show with Naarah - ABC list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The Musical Show with Naarah - ABC listen" descr="The Musical Show with Naarah - ABC list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132" cy="16121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2828" w:hRule="atLeast"/>
        </w:trPr>
        <w:tc>
          <w:tcPr>
            <w:tcW w:type="dxa" w:w="5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When you arrive at 12pm Greater Manchester Coalition of Disabled People (GMCDP) will provide your lunch. You will not have to pay for this.  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Please us know if you have any dietary requirements on the contact details provided. 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540042" cy="1322706"/>
                  <wp:effectExtent l="0" t="0" r="0" b="0"/>
                  <wp:docPr id="1073741827" name="officeArt object" descr="Let's Do Lunch | Tinley Park 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Let's Do Lunch | Tinley Park IL" descr="Let's Do Lunch | Tinley Park I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042" cy="13227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1926" w:hRule="atLeast"/>
        </w:trPr>
        <w:tc>
          <w:tcPr>
            <w:tcW w:type="dxa" w:w="5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The running time of show is 60 minutes. The show runs from around 2-3pm. 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178727" cy="1178727"/>
                  <wp:effectExtent l="0" t="0" r="0" b="0"/>
                  <wp:docPr id="1073741828" name="officeArt object" descr="1 Hour Webwork - Total Web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1 Hour Webwork - Total Webz" descr="1 Hour Webwork - Total Webz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727" cy="11787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3188" w:hRule="atLeast"/>
        </w:trPr>
        <w:tc>
          <w:tcPr>
            <w:tcW w:type="dxa" w:w="5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rtl w:val="0"/>
                <w:lang w:val="en-US"/>
              </w:rPr>
              <w:t>To book you can click on the link which is provided underneath.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  <w:r>
              <w:rPr>
                <w:rStyle w:val="Link"/>
                <w:sz w:val="28"/>
                <w:szCs w:val="28"/>
              </w:rPr>
              <w:fldChar w:fldCharType="begin" w:fldLock="0"/>
            </w:r>
            <w:r>
              <w:rPr>
                <w:rStyle w:val="Link"/>
                <w:sz w:val="28"/>
                <w:szCs w:val="28"/>
              </w:rPr>
              <w:instrText xml:space="preserve"> HYPERLINK "https://gmcdp.com/civicrm/event/info?reset=1&amp;id=411"</w:instrText>
            </w:r>
            <w:r>
              <w:rPr>
                <w:rStyle w:val="Link"/>
                <w:sz w:val="28"/>
                <w:szCs w:val="28"/>
              </w:rPr>
              <w:fldChar w:fldCharType="separate" w:fldLock="0"/>
            </w:r>
            <w:r>
              <w:rPr>
                <w:rStyle w:val="Link"/>
                <w:sz w:val="28"/>
                <w:szCs w:val="28"/>
                <w:rtl w:val="0"/>
                <w:lang w:val="en-US"/>
              </w:rPr>
              <w:t>https://gmcdp.com/civicrm/event/info?reset=1&amp;id=411</w:t>
            </w:r>
            <w:r>
              <w:rPr>
                <w:sz w:val="28"/>
                <w:szCs w:val="28"/>
              </w:rPr>
              <w:fldChar w:fldCharType="end" w:fldLock="0"/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If you struggle booking online, you can email  </w:t>
            </w:r>
            <w:r>
              <w:rPr>
                <w:rStyle w:val="Hyperlink.0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sz w:val="28"/>
                <w:szCs w:val="28"/>
              </w:rPr>
              <w:instrText xml:space="preserve"> HYPERLINK "mailto:Kayla@gmcdp.com"</w:instrText>
            </w:r>
            <w:r>
              <w:rPr>
                <w:rStyle w:val="Hyperlink.0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sz w:val="28"/>
                <w:szCs w:val="28"/>
                <w:rtl w:val="0"/>
                <w:lang w:val="en-US"/>
              </w:rPr>
              <w:t>Kayla@gmcdp.com</w:t>
            </w:r>
            <w:r>
              <w:rPr>
                <w:sz w:val="28"/>
                <w:szCs w:val="28"/>
              </w:rPr>
              <w:fldChar w:fldCharType="end" w:fldLock="0"/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or call or text on 07367 755 691. 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19893" cy="613610"/>
                  <wp:effectExtent l="0" t="0" r="0" b="0"/>
                  <wp:docPr id="1073741829" name="officeArt object" descr="What do the symbols on my phone scree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What do the symbols on my phone screen ..." descr="What do the symbols on my phone screen ..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93" cy="6136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p>
      <w:pPr>
        <w:pStyle w:val="Body"/>
        <w:widowControl w:val="0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8"/>
        <w:gridCol w:w="4508"/>
      </w:tblGrid>
      <w:tr>
        <w:tblPrEx>
          <w:shd w:val="clear" w:color="auto" w:fill="cdd4e9"/>
        </w:tblPrEx>
        <w:trPr>
          <w:trHeight w:val="2828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This Easy read guide was put together by Amber Okpa-Stother. 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326573" cy="1745059"/>
                  <wp:effectExtent l="0" t="0" r="0" b="0"/>
                  <wp:docPr id="1073741830" name="officeArt object" descr="A person standing on a sidewalk next to a rail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A person standing on a sidewalk next to a railingDescription automatically generated" descr="A person standing on a sidewalk next to a railing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73" cy="174505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3129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 hope that you enjoy the social events when you go, and we look forward to seeing you at one of them.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648461" cy="1719333"/>
                  <wp:effectExtent l="0" t="0" r="0" b="0"/>
                  <wp:docPr id="1073741831" name="officeArt object" descr="Smiley Face Svg, Png, Jpg, Pdf, Happy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Smiley Face Svg, Png, Jpg, Pdf, Happy ..." descr="Smiley Face Svg, Png, Jpg, Pdf, Happy ..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1" cy="17193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p>
      <w:pPr>
        <w:pStyle w:val="Body"/>
      </w:pPr>
      <w:r>
        <w:rPr>
          <w:b w:val="1"/>
          <w:bCs w:val="1"/>
          <w:sz w:val="28"/>
          <w:szCs w:val="28"/>
          <w:u w:val="single"/>
        </w:rPr>
      </w:r>
    </w:p>
    <w:sectPr>
      <w:headerReference w:type="default" r:id="rId11"/>
      <w:footerReference w:type="default" r:id="rId12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6"/>
      <w:szCs w:val="4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